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1C4A2" w14:textId="77777777" w:rsidR="006B04D2" w:rsidRPr="006B04D2" w:rsidRDefault="006B04D2" w:rsidP="006B04D2">
      <w:pPr>
        <w:bidi/>
        <w:jc w:val="both"/>
        <w:rPr>
          <w:rFonts w:asciiTheme="majorHAnsi" w:hAnsiTheme="majorHAnsi" w:cstheme="majorHAnsi"/>
          <w:sz w:val="28"/>
          <w:szCs w:val="28"/>
          <w:rtl/>
          <w:lang w:bidi="fa-IR"/>
        </w:rPr>
      </w:pPr>
      <w:r w:rsidRPr="006B04D2">
        <w:rPr>
          <w:rFonts w:asciiTheme="majorHAnsi" w:hAnsiTheme="majorHAnsi" w:cstheme="majorHAnsi" w:hint="cs"/>
          <w:sz w:val="28"/>
          <w:szCs w:val="28"/>
          <w:rtl/>
          <w:lang w:bidi="fa-IR"/>
        </w:rPr>
        <w:t>با سلام</w:t>
      </w:r>
    </w:p>
    <w:p w14:paraId="6617896F" w14:textId="5D6B3E5C" w:rsidR="006B04D2" w:rsidRPr="006B04D2" w:rsidRDefault="006B04D2" w:rsidP="006B04D2">
      <w:pPr>
        <w:bidi/>
        <w:jc w:val="both"/>
        <w:rPr>
          <w:rFonts w:asciiTheme="majorHAnsi" w:hAnsiTheme="majorHAnsi" w:cstheme="majorHAnsi"/>
          <w:sz w:val="28"/>
          <w:szCs w:val="28"/>
        </w:rPr>
      </w:pPr>
      <w:r w:rsidRPr="006B04D2">
        <w:rPr>
          <w:rFonts w:asciiTheme="majorHAnsi" w:hAnsiTheme="majorHAnsi" w:cstheme="majorHAnsi" w:hint="cs"/>
          <w:sz w:val="28"/>
          <w:szCs w:val="28"/>
          <w:rtl/>
          <w:lang w:bidi="fa-IR"/>
        </w:rPr>
        <w:t>در</w:t>
      </w:r>
      <w:r w:rsidRPr="006B04D2">
        <w:rPr>
          <w:rFonts w:asciiTheme="majorHAnsi" w:hAnsiTheme="majorHAnsi" w:cstheme="majorHAnsi"/>
          <w:sz w:val="28"/>
          <w:szCs w:val="28"/>
          <w:rtl/>
        </w:rPr>
        <w:t xml:space="preserve"> حالت</w:t>
      </w:r>
      <w:r w:rsidRPr="006B04D2">
        <w:rPr>
          <w:rFonts w:asciiTheme="majorHAnsi" w:hAnsiTheme="majorHAnsi" w:cstheme="majorHAnsi" w:hint="cs"/>
          <w:sz w:val="28"/>
          <w:szCs w:val="28"/>
          <w:rtl/>
        </w:rPr>
        <w:t>ی که</w:t>
      </w:r>
      <w:r w:rsidRPr="006B04D2">
        <w:rPr>
          <w:rFonts w:asciiTheme="majorHAnsi" w:hAnsiTheme="majorHAnsi" w:cstheme="majorHAnsi"/>
          <w:sz w:val="28"/>
          <w:szCs w:val="28"/>
          <w:rtl/>
        </w:rPr>
        <w:t xml:space="preserve"> </w:t>
      </w:r>
      <w:r w:rsidRPr="006B04D2">
        <w:rPr>
          <w:rFonts w:asciiTheme="majorHAnsi" w:hAnsiTheme="majorHAnsi" w:cstheme="majorHAnsi"/>
          <w:sz w:val="28"/>
          <w:szCs w:val="28"/>
        </w:rPr>
        <w:t xml:space="preserve">Tube = Copper </w:t>
      </w:r>
      <w:r w:rsidRPr="006B04D2">
        <w:rPr>
          <w:rFonts w:asciiTheme="majorHAnsi" w:hAnsiTheme="majorHAnsi" w:cstheme="majorHAnsi"/>
          <w:sz w:val="28"/>
          <w:szCs w:val="28"/>
          <w:rtl/>
        </w:rPr>
        <w:t xml:space="preserve">و </w:t>
      </w:r>
      <w:r w:rsidRPr="006B04D2">
        <w:rPr>
          <w:rFonts w:asciiTheme="majorHAnsi" w:hAnsiTheme="majorHAnsi" w:cstheme="majorHAnsi"/>
          <w:sz w:val="28"/>
          <w:szCs w:val="28"/>
        </w:rPr>
        <w:t>Tube sheet</w:t>
      </w:r>
      <w:r w:rsidRPr="006B04D2">
        <w:rPr>
          <w:rFonts w:asciiTheme="majorHAnsi" w:hAnsiTheme="majorHAnsi" w:cstheme="majorHAnsi"/>
          <w:sz w:val="28"/>
          <w:szCs w:val="28"/>
        </w:rPr>
        <w:t xml:space="preserve"> = Carbon Steel / Low Alloy Steel </w:t>
      </w:r>
      <w:r w:rsidRPr="006B04D2">
        <w:rPr>
          <w:rFonts w:asciiTheme="majorHAnsi" w:hAnsiTheme="majorHAnsi" w:cstheme="majorHAnsi"/>
          <w:sz w:val="28"/>
          <w:szCs w:val="28"/>
          <w:rtl/>
        </w:rPr>
        <w:t xml:space="preserve">و در صورتی که </w:t>
      </w:r>
      <w:r w:rsidRPr="006B04D2">
        <w:rPr>
          <w:rFonts w:asciiTheme="majorHAnsi" w:hAnsiTheme="majorHAnsi" w:cstheme="majorHAnsi" w:hint="cs"/>
          <w:sz w:val="28"/>
          <w:szCs w:val="28"/>
          <w:rtl/>
        </w:rPr>
        <w:t xml:space="preserve"> </w:t>
      </w:r>
      <w:r w:rsidRPr="006B04D2">
        <w:rPr>
          <w:rFonts w:asciiTheme="majorHAnsi" w:hAnsiTheme="majorHAnsi" w:cstheme="majorHAnsi"/>
          <w:sz w:val="28"/>
          <w:szCs w:val="28"/>
        </w:rPr>
        <w:t xml:space="preserve"> </w:t>
      </w:r>
      <w:r w:rsidRPr="006B04D2">
        <w:rPr>
          <w:rFonts w:asciiTheme="majorHAnsi" w:hAnsiTheme="majorHAnsi" w:cstheme="majorHAnsi"/>
          <w:sz w:val="28"/>
          <w:szCs w:val="28"/>
        </w:rPr>
        <w:t xml:space="preserve">Welding </w:t>
      </w:r>
      <w:r w:rsidRPr="006B04D2">
        <w:rPr>
          <w:rFonts w:asciiTheme="majorHAnsi" w:hAnsiTheme="majorHAnsi" w:cstheme="majorHAnsi"/>
          <w:sz w:val="28"/>
          <w:szCs w:val="28"/>
          <w:rtl/>
        </w:rPr>
        <w:t xml:space="preserve">انجام نشود، اتصال مکانیکی با </w:t>
      </w:r>
      <w:r w:rsidRPr="006B04D2">
        <w:rPr>
          <w:rFonts w:asciiTheme="majorHAnsi" w:hAnsiTheme="majorHAnsi" w:cstheme="majorHAnsi"/>
          <w:sz w:val="28"/>
          <w:szCs w:val="28"/>
        </w:rPr>
        <w:t xml:space="preserve">roller expansion </w:t>
      </w:r>
      <w:r w:rsidRPr="006B04D2">
        <w:rPr>
          <w:rFonts w:asciiTheme="majorHAnsi" w:hAnsiTheme="majorHAnsi" w:cstheme="majorHAnsi"/>
          <w:sz w:val="28"/>
          <w:szCs w:val="28"/>
          <w:rtl/>
        </w:rPr>
        <w:t>کاملاً قابل استفاده است؛ اما چون مس نسبت به فولاد بسیار نرم‌تر و دارای مدول الاستیسیته بسیار پایین‌تری است، طراحی و کنترل</w:t>
      </w:r>
      <w:r w:rsidRPr="006B04D2">
        <w:rPr>
          <w:rFonts w:asciiTheme="majorHAnsi" w:hAnsiTheme="majorHAnsi" w:cstheme="majorHAnsi"/>
          <w:sz w:val="28"/>
          <w:szCs w:val="28"/>
        </w:rPr>
        <w:t xml:space="preserve"> Expansion </w:t>
      </w:r>
      <w:r w:rsidRPr="006B04D2">
        <w:rPr>
          <w:rFonts w:asciiTheme="majorHAnsi" w:hAnsiTheme="majorHAnsi" w:cstheme="majorHAnsi"/>
          <w:sz w:val="28"/>
          <w:szCs w:val="28"/>
          <w:rtl/>
        </w:rPr>
        <w:t>باید با دقت بیشتری انجام شود</w:t>
      </w:r>
      <w:r w:rsidRPr="006B04D2">
        <w:rPr>
          <w:rFonts w:asciiTheme="majorHAnsi" w:hAnsiTheme="majorHAnsi" w:cstheme="majorHAnsi"/>
          <w:sz w:val="28"/>
          <w:szCs w:val="28"/>
        </w:rPr>
        <w:t>.</w:t>
      </w:r>
    </w:p>
    <w:p w14:paraId="30004AD5" w14:textId="54E61131" w:rsidR="006B04D2" w:rsidRDefault="006B04D2" w:rsidP="006B04D2">
      <w:pPr>
        <w:bidi/>
        <w:jc w:val="both"/>
        <w:rPr>
          <w:rFonts w:asciiTheme="majorHAnsi" w:hAnsiTheme="majorHAnsi" w:cstheme="majorHAnsi"/>
          <w:sz w:val="28"/>
          <w:szCs w:val="28"/>
        </w:rPr>
      </w:pPr>
      <w:r w:rsidRPr="006B04D2">
        <w:rPr>
          <w:rFonts w:asciiTheme="majorHAnsi" w:hAnsiTheme="majorHAnsi" w:cstheme="majorHAnsi"/>
          <w:sz w:val="28"/>
          <w:szCs w:val="28"/>
          <w:rtl/>
        </w:rPr>
        <w:t xml:space="preserve">استاندارد اصلی برای جزئیات اجرایی این اتصال، </w:t>
      </w:r>
      <w:r w:rsidRPr="006B04D2">
        <w:rPr>
          <w:rFonts w:asciiTheme="majorHAnsi" w:hAnsiTheme="majorHAnsi" w:cstheme="majorHAnsi"/>
          <w:sz w:val="28"/>
          <w:szCs w:val="28"/>
        </w:rPr>
        <w:t xml:space="preserve">TEMA </w:t>
      </w:r>
      <w:r w:rsidRPr="006B04D2">
        <w:rPr>
          <w:rFonts w:asciiTheme="majorHAnsi" w:hAnsiTheme="majorHAnsi" w:cstheme="majorHAnsi"/>
          <w:sz w:val="28"/>
          <w:szCs w:val="28"/>
          <w:rtl/>
        </w:rPr>
        <w:t>است و برای</w:t>
      </w:r>
      <w:r w:rsidRPr="006B04D2">
        <w:rPr>
          <w:rFonts w:asciiTheme="majorHAnsi" w:hAnsiTheme="majorHAnsi" w:cstheme="majorHAnsi"/>
          <w:sz w:val="28"/>
          <w:szCs w:val="28"/>
        </w:rPr>
        <w:t xml:space="preserve"> qualification/procedure expansion </w:t>
      </w:r>
      <w:r w:rsidRPr="006B04D2">
        <w:rPr>
          <w:rFonts w:asciiTheme="majorHAnsi" w:hAnsiTheme="majorHAnsi" w:cstheme="majorHAnsi"/>
          <w:sz w:val="28"/>
          <w:szCs w:val="28"/>
          <w:rtl/>
        </w:rPr>
        <w:t xml:space="preserve">می‌توان از الزامات </w:t>
      </w:r>
      <w:r w:rsidRPr="006B04D2">
        <w:rPr>
          <w:rFonts w:asciiTheme="majorHAnsi" w:hAnsiTheme="majorHAnsi" w:cstheme="majorHAnsi"/>
          <w:sz w:val="28"/>
          <w:szCs w:val="28"/>
        </w:rPr>
        <w:t xml:space="preserve">ASME Section VIII, Division 1, Nonmandatory Appendix HH </w:t>
      </w:r>
      <w:r w:rsidRPr="006B04D2">
        <w:rPr>
          <w:rFonts w:asciiTheme="majorHAnsi" w:hAnsiTheme="majorHAnsi" w:cstheme="majorHAnsi"/>
          <w:sz w:val="28"/>
          <w:szCs w:val="28"/>
          <w:rtl/>
        </w:rPr>
        <w:t>استفاده کرد</w:t>
      </w:r>
      <w:r w:rsidRPr="006B04D2">
        <w:rPr>
          <w:rFonts w:asciiTheme="majorHAnsi" w:hAnsiTheme="majorHAnsi" w:cstheme="majorHAnsi"/>
          <w:sz w:val="28"/>
          <w:szCs w:val="28"/>
        </w:rPr>
        <w:t xml:space="preserve">. Appendix HH </w:t>
      </w:r>
      <w:r w:rsidRPr="006B04D2">
        <w:rPr>
          <w:rFonts w:asciiTheme="majorHAnsi" w:hAnsiTheme="majorHAnsi" w:cstheme="majorHAnsi"/>
          <w:sz w:val="28"/>
          <w:szCs w:val="28"/>
          <w:rtl/>
        </w:rPr>
        <w:t>صراحتاً پارامترهایی مانند</w:t>
      </w:r>
      <w:r w:rsidRPr="006B04D2">
        <w:rPr>
          <w:rFonts w:asciiTheme="majorHAnsi" w:hAnsiTheme="majorHAnsi" w:cstheme="majorHAnsi"/>
          <w:sz w:val="28"/>
          <w:szCs w:val="28"/>
        </w:rPr>
        <w:t xml:space="preserve"> tube-to-hole clearance</w:t>
      </w:r>
      <w:r w:rsidRPr="006B04D2">
        <w:rPr>
          <w:rFonts w:asciiTheme="majorHAnsi" w:hAnsiTheme="majorHAnsi" w:cstheme="majorHAnsi"/>
          <w:sz w:val="28"/>
          <w:szCs w:val="28"/>
          <w:rtl/>
        </w:rPr>
        <w:t>، جنس و</w:t>
      </w:r>
      <w:r w:rsidRPr="006B04D2">
        <w:rPr>
          <w:rFonts w:asciiTheme="majorHAnsi" w:hAnsiTheme="majorHAnsi" w:cstheme="majorHAnsi"/>
          <w:sz w:val="28"/>
          <w:szCs w:val="28"/>
        </w:rPr>
        <w:t xml:space="preserve"> yield strength </w:t>
      </w:r>
      <w:r w:rsidRPr="006B04D2">
        <w:rPr>
          <w:rFonts w:asciiTheme="majorHAnsi" w:hAnsiTheme="majorHAnsi" w:cstheme="majorHAnsi"/>
          <w:sz w:val="28"/>
          <w:szCs w:val="28"/>
          <w:rtl/>
        </w:rPr>
        <w:t>تیوب و</w:t>
      </w:r>
      <w:r w:rsidRPr="006B04D2">
        <w:rPr>
          <w:rFonts w:asciiTheme="majorHAnsi" w:hAnsiTheme="majorHAnsi" w:cstheme="majorHAnsi"/>
          <w:sz w:val="28"/>
          <w:szCs w:val="28"/>
        </w:rPr>
        <w:t xml:space="preserve"> </w:t>
      </w:r>
      <w:r w:rsidRPr="006B04D2">
        <w:rPr>
          <w:rFonts w:asciiTheme="majorHAnsi" w:hAnsiTheme="majorHAnsi" w:cstheme="majorHAnsi"/>
          <w:sz w:val="28"/>
          <w:szCs w:val="28"/>
        </w:rPr>
        <w:t>tube sheet</w:t>
      </w:r>
      <w:r w:rsidRPr="006B04D2">
        <w:rPr>
          <w:rFonts w:asciiTheme="majorHAnsi" w:hAnsiTheme="majorHAnsi" w:cstheme="majorHAnsi"/>
          <w:sz w:val="28"/>
          <w:szCs w:val="28"/>
          <w:rtl/>
        </w:rPr>
        <w:t>، درصد</w:t>
      </w:r>
      <w:r w:rsidRPr="006B04D2">
        <w:rPr>
          <w:rFonts w:asciiTheme="majorHAnsi" w:hAnsiTheme="majorHAnsi" w:cstheme="majorHAnsi"/>
          <w:sz w:val="28"/>
          <w:szCs w:val="28"/>
        </w:rPr>
        <w:t xml:space="preserve"> wall reduction </w:t>
      </w:r>
      <w:r w:rsidRPr="006B04D2">
        <w:rPr>
          <w:rFonts w:asciiTheme="majorHAnsi" w:hAnsiTheme="majorHAnsi" w:cstheme="majorHAnsi"/>
          <w:sz w:val="28"/>
          <w:szCs w:val="28"/>
          <w:rtl/>
        </w:rPr>
        <w:t>و مشخصات</w:t>
      </w:r>
      <w:r w:rsidRPr="006B04D2">
        <w:rPr>
          <w:rFonts w:asciiTheme="majorHAnsi" w:hAnsiTheme="majorHAnsi" w:cstheme="majorHAnsi"/>
          <w:sz w:val="28"/>
          <w:szCs w:val="28"/>
        </w:rPr>
        <w:t xml:space="preserve"> groove </w:t>
      </w:r>
      <w:r w:rsidRPr="006B04D2">
        <w:rPr>
          <w:rFonts w:asciiTheme="majorHAnsi" w:hAnsiTheme="majorHAnsi" w:cstheme="majorHAnsi"/>
          <w:sz w:val="28"/>
          <w:szCs w:val="28"/>
          <w:rtl/>
        </w:rPr>
        <w:t>را جزو متغیرهای</w:t>
      </w:r>
      <w:r w:rsidRPr="006B04D2">
        <w:rPr>
          <w:rFonts w:asciiTheme="majorHAnsi" w:hAnsiTheme="majorHAnsi" w:cstheme="majorHAnsi"/>
          <w:sz w:val="28"/>
          <w:szCs w:val="28"/>
        </w:rPr>
        <w:t xml:space="preserve"> procedure </w:t>
      </w:r>
      <w:r w:rsidRPr="006B04D2">
        <w:rPr>
          <w:rFonts w:asciiTheme="majorHAnsi" w:hAnsiTheme="majorHAnsi" w:cstheme="majorHAnsi"/>
          <w:sz w:val="28"/>
          <w:szCs w:val="28"/>
          <w:rtl/>
        </w:rPr>
        <w:t>می‌داند</w:t>
      </w:r>
    </w:p>
    <w:p w14:paraId="60541853" w14:textId="76A562B4" w:rsidR="006B04D2" w:rsidRPr="006B04D2" w:rsidRDefault="006B04D2" w:rsidP="006B04D2">
      <w:pPr>
        <w:bidi/>
        <w:jc w:val="both"/>
        <w:rPr>
          <w:rFonts w:asciiTheme="majorHAnsi" w:hAnsiTheme="majorHAnsi" w:cstheme="majorHAnsi"/>
          <w:sz w:val="28"/>
          <w:szCs w:val="28"/>
        </w:rPr>
      </w:pPr>
      <w:r w:rsidRPr="006B04D2">
        <w:rPr>
          <w:rFonts w:asciiTheme="majorHAnsi" w:hAnsiTheme="majorHAnsi" w:cstheme="majorHAnsi"/>
          <w:sz w:val="28"/>
          <w:szCs w:val="28"/>
          <w:rtl/>
        </w:rPr>
        <w:t>در فرآیند</w:t>
      </w:r>
      <w:r w:rsidRPr="006B04D2">
        <w:rPr>
          <w:rFonts w:asciiTheme="majorHAnsi" w:hAnsiTheme="majorHAnsi" w:cstheme="majorHAnsi"/>
          <w:sz w:val="28"/>
          <w:szCs w:val="28"/>
        </w:rPr>
        <w:t xml:space="preserve"> rolling</w:t>
      </w:r>
      <w:r w:rsidRPr="006B04D2">
        <w:rPr>
          <w:rFonts w:asciiTheme="majorHAnsi" w:hAnsiTheme="majorHAnsi" w:cstheme="majorHAnsi"/>
          <w:sz w:val="28"/>
          <w:szCs w:val="28"/>
          <w:rtl/>
        </w:rPr>
        <w:t>، تیوب مسی به داخل سوراخ فولادی منبسط می‌شود و بعد از خارج کردن</w:t>
      </w:r>
      <w:r w:rsidRPr="006B04D2">
        <w:rPr>
          <w:rFonts w:asciiTheme="majorHAnsi" w:hAnsiTheme="majorHAnsi" w:cstheme="majorHAnsi"/>
          <w:sz w:val="28"/>
          <w:szCs w:val="28"/>
        </w:rPr>
        <w:t xml:space="preserve"> expander</w:t>
      </w:r>
      <w:r w:rsidRPr="006B04D2">
        <w:rPr>
          <w:rFonts w:asciiTheme="majorHAnsi" w:hAnsiTheme="majorHAnsi" w:cstheme="majorHAnsi"/>
          <w:sz w:val="28"/>
          <w:szCs w:val="28"/>
          <w:rtl/>
        </w:rPr>
        <w:t>، به علت</w:t>
      </w:r>
      <w:r w:rsidRPr="006B04D2">
        <w:rPr>
          <w:rFonts w:asciiTheme="majorHAnsi" w:hAnsiTheme="majorHAnsi" w:cstheme="majorHAnsi"/>
          <w:sz w:val="28"/>
          <w:szCs w:val="28"/>
        </w:rPr>
        <w:t xml:space="preserve"> spring-back </w:t>
      </w:r>
      <w:r w:rsidRPr="006B04D2">
        <w:rPr>
          <w:rFonts w:asciiTheme="majorHAnsi" w:hAnsiTheme="majorHAnsi" w:cstheme="majorHAnsi"/>
          <w:sz w:val="28"/>
          <w:szCs w:val="28"/>
          <w:rtl/>
        </w:rPr>
        <w:t xml:space="preserve">متفاوت دو ماده، یک 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Pr="006B04D2">
        <w:rPr>
          <w:rFonts w:asciiTheme="majorHAnsi" w:hAnsiTheme="majorHAnsi" w:cstheme="majorHAnsi"/>
          <w:b/>
          <w:bCs/>
          <w:sz w:val="28"/>
          <w:szCs w:val="28"/>
        </w:rPr>
        <w:t>contact pressure</w:t>
      </w:r>
      <w:r w:rsidRPr="006B04D2">
        <w:rPr>
          <w:rFonts w:asciiTheme="majorHAnsi" w:hAnsiTheme="majorHAnsi" w:cstheme="majorHAnsi"/>
          <w:sz w:val="28"/>
          <w:szCs w:val="28"/>
        </w:rPr>
        <w:t xml:space="preserve"> </w:t>
      </w:r>
      <w:r w:rsidRPr="006B04D2">
        <w:rPr>
          <w:rFonts w:asciiTheme="majorHAnsi" w:hAnsiTheme="majorHAnsi" w:cstheme="majorHAnsi"/>
          <w:sz w:val="28"/>
          <w:szCs w:val="28"/>
          <w:rtl/>
        </w:rPr>
        <w:t>بین</w:t>
      </w:r>
      <w:r w:rsidRPr="006B04D2">
        <w:rPr>
          <w:rFonts w:asciiTheme="majorHAnsi" w:hAnsiTheme="majorHAnsi" w:cstheme="majorHAnsi"/>
          <w:sz w:val="28"/>
          <w:szCs w:val="28"/>
        </w:rPr>
        <w:t xml:space="preserve"> Copper Tube </w:t>
      </w:r>
      <w:r w:rsidRPr="006B04D2">
        <w:rPr>
          <w:rFonts w:asciiTheme="majorHAnsi" w:hAnsiTheme="majorHAnsi" w:cstheme="majorHAnsi"/>
          <w:sz w:val="28"/>
          <w:szCs w:val="28"/>
          <w:rtl/>
        </w:rPr>
        <w:t>و</w:t>
      </w:r>
      <w:r w:rsidRPr="006B04D2">
        <w:rPr>
          <w:rFonts w:asciiTheme="majorHAnsi" w:hAnsiTheme="majorHAnsi" w:cstheme="majorHAnsi"/>
          <w:sz w:val="28"/>
          <w:szCs w:val="28"/>
        </w:rPr>
        <w:t xml:space="preserve"> Steel Tube Hole </w:t>
      </w:r>
      <w:r w:rsidRPr="006B04D2">
        <w:rPr>
          <w:rFonts w:asciiTheme="majorHAnsi" w:hAnsiTheme="majorHAnsi" w:cstheme="majorHAnsi"/>
          <w:sz w:val="28"/>
          <w:szCs w:val="28"/>
          <w:rtl/>
        </w:rPr>
        <w:t>ایجاد می‌شود</w:t>
      </w:r>
      <w:r w:rsidRPr="006B04D2">
        <w:rPr>
          <w:rFonts w:asciiTheme="majorHAnsi" w:hAnsiTheme="majorHAnsi" w:cstheme="majorHAnsi"/>
          <w:sz w:val="28"/>
          <w:szCs w:val="28"/>
        </w:rPr>
        <w:t>.</w:t>
      </w:r>
    </w:p>
    <w:p w14:paraId="1BF0C50B" w14:textId="2F87688E" w:rsidR="006B04D2" w:rsidRPr="006B04D2" w:rsidRDefault="006B04D2" w:rsidP="006B04D2">
      <w:pPr>
        <w:bidi/>
        <w:jc w:val="both"/>
        <w:rPr>
          <w:rFonts w:asciiTheme="majorHAnsi" w:hAnsiTheme="majorHAnsi" w:cstheme="majorHAnsi"/>
          <w:sz w:val="28"/>
          <w:szCs w:val="28"/>
        </w:rPr>
      </w:pPr>
      <w:r w:rsidRPr="006B04D2">
        <w:rPr>
          <w:rFonts w:asciiTheme="majorHAnsi" w:hAnsiTheme="majorHAnsi" w:cstheme="majorHAnsi"/>
          <w:sz w:val="28"/>
          <w:szCs w:val="28"/>
          <w:rtl/>
        </w:rPr>
        <w:t>در این حالت من توصیه می‌کنم از</w:t>
      </w:r>
      <w:r w:rsidRPr="006B04D2">
        <w:rPr>
          <w:rFonts w:asciiTheme="majorHAnsi" w:hAnsiTheme="majorHAnsi" w:cstheme="majorHAnsi"/>
          <w:sz w:val="28"/>
          <w:szCs w:val="28"/>
        </w:rPr>
        <w:t>:</w:t>
      </w:r>
      <w:r w:rsidRPr="006B04D2">
        <w:rPr>
          <w:rFonts w:asciiTheme="majorHAnsi" w:hAnsiTheme="majorHAnsi" w:cstheme="majorHAnsi"/>
          <w:b/>
          <w:bCs/>
          <w:sz w:val="28"/>
          <w:szCs w:val="28"/>
        </w:rPr>
        <w:t xml:space="preserve">Torque-controlled roller </w:t>
      </w:r>
      <w:r w:rsidRPr="006B04D2">
        <w:rPr>
          <w:rFonts w:asciiTheme="majorHAnsi" w:hAnsiTheme="majorHAnsi" w:cstheme="majorHAnsi"/>
          <w:b/>
          <w:bCs/>
          <w:sz w:val="28"/>
          <w:szCs w:val="28"/>
        </w:rPr>
        <w:t>expander</w:t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6B04D2">
        <w:rPr>
          <w:rFonts w:asciiTheme="majorHAnsi" w:hAnsiTheme="majorHAnsi" w:cstheme="majorHAnsi"/>
          <w:sz w:val="28"/>
          <w:szCs w:val="28"/>
          <w:rtl/>
        </w:rPr>
        <w:t>استفاده شود، نه اینکه صرفاً بر اساس یک</w:t>
      </w:r>
      <w:r w:rsidRPr="006B04D2">
        <w:rPr>
          <w:rFonts w:asciiTheme="majorHAnsi" w:hAnsiTheme="majorHAnsi" w:cstheme="majorHAnsi"/>
          <w:sz w:val="28"/>
          <w:szCs w:val="28"/>
        </w:rPr>
        <w:t xml:space="preserve"> torque </w:t>
      </w:r>
      <w:r w:rsidRPr="006B04D2">
        <w:rPr>
          <w:rFonts w:asciiTheme="majorHAnsi" w:hAnsiTheme="majorHAnsi" w:cstheme="majorHAnsi"/>
          <w:sz w:val="28"/>
          <w:szCs w:val="28"/>
          <w:rtl/>
        </w:rPr>
        <w:t>ثابت برای تمام تیوب‌ها کار شود</w:t>
      </w:r>
      <w:r w:rsidRPr="006B04D2">
        <w:rPr>
          <w:rFonts w:asciiTheme="majorHAnsi" w:hAnsiTheme="majorHAnsi" w:cstheme="majorHAnsi"/>
          <w:sz w:val="28"/>
          <w:szCs w:val="28"/>
        </w:rPr>
        <w:t>.</w:t>
      </w:r>
    </w:p>
    <w:p w14:paraId="7EC3ED77" w14:textId="78C2EA2C" w:rsidR="006B04D2" w:rsidRDefault="006B04D2" w:rsidP="006B04D2">
      <w:pPr>
        <w:bidi/>
        <w:jc w:val="both"/>
        <w:rPr>
          <w:rFonts w:asciiTheme="majorHAnsi" w:hAnsiTheme="majorHAnsi" w:cstheme="majorHAnsi"/>
          <w:sz w:val="28"/>
          <w:szCs w:val="28"/>
        </w:rPr>
      </w:pPr>
      <w:r w:rsidRPr="006B04D2">
        <w:rPr>
          <w:rFonts w:asciiTheme="majorHAnsi" w:hAnsiTheme="majorHAnsi" w:cstheme="majorHAnsi"/>
          <w:sz w:val="28"/>
          <w:szCs w:val="28"/>
        </w:rPr>
        <w:t xml:space="preserve">TEMA </w:t>
      </w:r>
      <w:r w:rsidRPr="006B04D2">
        <w:rPr>
          <w:rFonts w:asciiTheme="majorHAnsi" w:hAnsiTheme="majorHAnsi" w:cstheme="majorHAnsi"/>
          <w:sz w:val="28"/>
          <w:szCs w:val="28"/>
          <w:rtl/>
        </w:rPr>
        <w:t>نیز</w:t>
      </w:r>
      <w:r w:rsidRPr="006B04D2">
        <w:rPr>
          <w:rFonts w:asciiTheme="majorHAnsi" w:hAnsiTheme="majorHAnsi" w:cstheme="majorHAnsi"/>
          <w:sz w:val="28"/>
          <w:szCs w:val="28"/>
        </w:rPr>
        <w:t xml:space="preserve"> roller expansion </w:t>
      </w:r>
      <w:r w:rsidRPr="006B04D2">
        <w:rPr>
          <w:rFonts w:asciiTheme="majorHAnsi" w:hAnsiTheme="majorHAnsi" w:cstheme="majorHAnsi"/>
          <w:sz w:val="28"/>
          <w:szCs w:val="28"/>
          <w:rtl/>
        </w:rPr>
        <w:t>را روش معمول برای ایجاد</w:t>
      </w:r>
      <w:r w:rsidRPr="006B04D2">
        <w:rPr>
          <w:rFonts w:asciiTheme="majorHAnsi" w:hAnsiTheme="majorHAnsi" w:cstheme="majorHAnsi"/>
          <w:sz w:val="28"/>
          <w:szCs w:val="28"/>
        </w:rPr>
        <w:t xml:space="preserve"> pressure-tight joint </w:t>
      </w:r>
      <w:r w:rsidRPr="006B04D2">
        <w:rPr>
          <w:rFonts w:asciiTheme="majorHAnsi" w:hAnsiTheme="majorHAnsi" w:cstheme="majorHAnsi"/>
          <w:sz w:val="28"/>
          <w:szCs w:val="28"/>
          <w:rtl/>
        </w:rPr>
        <w:t>می‌داند و مقدار</w:t>
      </w:r>
      <w:r w:rsidRPr="006B04D2">
        <w:rPr>
          <w:rFonts w:asciiTheme="majorHAnsi" w:hAnsiTheme="majorHAnsi" w:cstheme="majorHAnsi"/>
          <w:sz w:val="28"/>
          <w:szCs w:val="28"/>
        </w:rPr>
        <w:t xml:space="preserve"> expansion </w:t>
      </w:r>
      <w:r w:rsidRPr="006B04D2">
        <w:rPr>
          <w:rFonts w:asciiTheme="majorHAnsi" w:hAnsiTheme="majorHAnsi" w:cstheme="majorHAnsi"/>
          <w:sz w:val="28"/>
          <w:szCs w:val="28"/>
          <w:rtl/>
        </w:rPr>
        <w:t>باید با توجه به جنس</w:t>
      </w:r>
      <w:r w:rsidRPr="006B04D2">
        <w:rPr>
          <w:rFonts w:asciiTheme="majorHAnsi" w:hAnsiTheme="majorHAnsi" w:cstheme="majorHAnsi"/>
          <w:sz w:val="28"/>
          <w:szCs w:val="28"/>
        </w:rPr>
        <w:t xml:space="preserve"> tube </w:t>
      </w:r>
      <w:r w:rsidRPr="006B04D2">
        <w:rPr>
          <w:rFonts w:asciiTheme="majorHAnsi" w:hAnsiTheme="majorHAnsi" w:cstheme="majorHAnsi"/>
          <w:sz w:val="28"/>
          <w:szCs w:val="28"/>
          <w:rtl/>
        </w:rPr>
        <w:t>تعیین و در تیوب‌های اولیه اندازه‌گیری و</w:t>
      </w:r>
      <w:r w:rsidRPr="006B04D2">
        <w:rPr>
          <w:rFonts w:asciiTheme="majorHAnsi" w:hAnsiTheme="majorHAnsi" w:cstheme="majorHAnsi"/>
          <w:sz w:val="28"/>
          <w:szCs w:val="28"/>
        </w:rPr>
        <w:t xml:space="preserve"> qualification </w:t>
      </w:r>
      <w:r w:rsidRPr="006B04D2">
        <w:rPr>
          <w:rFonts w:asciiTheme="majorHAnsi" w:hAnsiTheme="majorHAnsi" w:cstheme="majorHAnsi"/>
          <w:sz w:val="28"/>
          <w:szCs w:val="28"/>
          <w:rtl/>
        </w:rPr>
        <w:t>شود</w:t>
      </w:r>
      <w:r>
        <w:rPr>
          <w:rFonts w:asciiTheme="majorHAnsi" w:hAnsiTheme="majorHAnsi" w:cstheme="majorHAnsi"/>
          <w:sz w:val="28"/>
          <w:szCs w:val="28"/>
        </w:rPr>
        <w:t>.</w:t>
      </w:r>
    </w:p>
    <w:tbl>
      <w:tblPr>
        <w:tblW w:w="990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5"/>
        <w:gridCol w:w="3785"/>
        <w:gridCol w:w="3600"/>
      </w:tblGrid>
      <w:tr w:rsidR="006B04D2" w:rsidRPr="006B04D2" w14:paraId="29285340" w14:textId="77777777" w:rsidTr="006B04D2">
        <w:trPr>
          <w:trHeight w:val="300"/>
        </w:trPr>
        <w:tc>
          <w:tcPr>
            <w:tcW w:w="9900" w:type="dxa"/>
            <w:gridSpan w:val="3"/>
            <w:shd w:val="clear" w:color="auto" w:fill="FBE4D5" w:themeFill="accent2" w:themeFillTint="33"/>
            <w:noWrap/>
            <w:vAlign w:val="center"/>
            <w:hideMark/>
          </w:tcPr>
          <w:p w14:paraId="3C191430" w14:textId="77777777" w:rsidR="006B04D2" w:rsidRPr="006B04D2" w:rsidRDefault="006B04D2" w:rsidP="006B04D2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B04D2">
              <w:rPr>
                <w:rFonts w:ascii="Calibri" w:eastAsia="Times New Roman" w:hAnsi="Calibri" w:cs="Calibri"/>
                <w:b/>
                <w:bCs/>
                <w:color w:val="000000"/>
              </w:rPr>
              <w:t>TEMA</w:t>
            </w:r>
            <w:r w:rsidRPr="006B04D2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 برای </w:t>
            </w:r>
            <w:r w:rsidRPr="006B04D2">
              <w:rPr>
                <w:rFonts w:ascii="Calibri" w:eastAsia="Times New Roman" w:hAnsi="Calibri" w:cs="Calibri"/>
                <w:b/>
                <w:bCs/>
                <w:color w:val="000000"/>
              </w:rPr>
              <w:t>Tube Hole</w:t>
            </w:r>
            <w:r w:rsidRPr="006B04D2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 یک </w:t>
            </w:r>
            <w:r w:rsidRPr="006B04D2">
              <w:rPr>
                <w:rFonts w:ascii="Calibri" w:eastAsia="Times New Roman" w:hAnsi="Calibri" w:cs="Calibri"/>
                <w:b/>
                <w:bCs/>
                <w:color w:val="000000"/>
              </w:rPr>
              <w:t>diametral clearance</w:t>
            </w:r>
            <w:r w:rsidRPr="006B04D2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 xml:space="preserve"> مشخص می‌کند.</w:t>
            </w:r>
          </w:p>
        </w:tc>
      </w:tr>
      <w:tr w:rsidR="006B04D2" w:rsidRPr="006B04D2" w14:paraId="468F22D3" w14:textId="77777777" w:rsidTr="006B04D2">
        <w:trPr>
          <w:trHeight w:val="300"/>
        </w:trPr>
        <w:tc>
          <w:tcPr>
            <w:tcW w:w="9900" w:type="dxa"/>
            <w:gridSpan w:val="3"/>
            <w:noWrap/>
            <w:vAlign w:val="center"/>
            <w:hideMark/>
          </w:tcPr>
          <w:p w14:paraId="0B0E819D" w14:textId="77777777" w:rsidR="006B04D2" w:rsidRPr="006B04D2" w:rsidRDefault="006B04D2" w:rsidP="006B04D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B04D2">
              <w:rPr>
                <w:rFonts w:ascii="Calibri" w:eastAsia="Times New Roman" w:hAnsi="Calibri" w:cs="Calibri"/>
                <w:color w:val="000000"/>
                <w:rtl/>
              </w:rPr>
              <w:t xml:space="preserve">به عنوان مثال، طبق جدول </w:t>
            </w:r>
            <w:r w:rsidRPr="006B04D2">
              <w:rPr>
                <w:rFonts w:ascii="Calibri" w:eastAsia="Times New Roman" w:hAnsi="Calibri" w:cs="Calibri"/>
                <w:color w:val="000000"/>
              </w:rPr>
              <w:t>TEMA</w:t>
            </w:r>
            <w:r w:rsidRPr="006B04D2">
              <w:rPr>
                <w:rFonts w:ascii="Calibri" w:eastAsia="Times New Roman" w:hAnsi="Calibri" w:cs="Calibri"/>
                <w:color w:val="000000"/>
                <w:rtl/>
              </w:rPr>
              <w:t xml:space="preserve"> برای </w:t>
            </w:r>
            <w:r w:rsidRPr="006B04D2">
              <w:rPr>
                <w:rFonts w:ascii="Calibri" w:eastAsia="Times New Roman" w:hAnsi="Calibri" w:cs="Calibri"/>
                <w:color w:val="000000"/>
              </w:rPr>
              <w:t>Standard Fit</w:t>
            </w:r>
            <w:r w:rsidRPr="006B04D2">
              <w:rPr>
                <w:rFonts w:ascii="Calibri" w:eastAsia="Times New Roman" w:hAnsi="Calibri" w:cs="Calibri"/>
                <w:color w:val="000000"/>
                <w:rtl/>
              </w:rPr>
              <w:t>:</w:t>
            </w:r>
          </w:p>
        </w:tc>
      </w:tr>
      <w:tr w:rsidR="006B04D2" w:rsidRPr="006B04D2" w14:paraId="78CE41AF" w14:textId="77777777" w:rsidTr="006B04D2">
        <w:trPr>
          <w:trHeight w:val="300"/>
        </w:trPr>
        <w:tc>
          <w:tcPr>
            <w:tcW w:w="2515" w:type="dxa"/>
            <w:vAlign w:val="center"/>
            <w:hideMark/>
          </w:tcPr>
          <w:p w14:paraId="3774644E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B04D2">
              <w:rPr>
                <w:rFonts w:ascii="Calibri" w:eastAsia="Times New Roman" w:hAnsi="Calibri" w:cs="Calibri"/>
                <w:b/>
                <w:bCs/>
                <w:color w:val="000000"/>
              </w:rPr>
              <w:t>Tube OD</w:t>
            </w:r>
          </w:p>
        </w:tc>
        <w:tc>
          <w:tcPr>
            <w:tcW w:w="3785" w:type="dxa"/>
            <w:vAlign w:val="center"/>
            <w:hideMark/>
          </w:tcPr>
          <w:p w14:paraId="0738DB1B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B04D2">
              <w:rPr>
                <w:rFonts w:ascii="Calibri" w:eastAsia="Times New Roman" w:hAnsi="Calibri" w:cs="Calibri"/>
                <w:b/>
                <w:bCs/>
                <w:color w:val="000000"/>
              </w:rPr>
              <w:t>Nominal Tube Hole</w:t>
            </w:r>
          </w:p>
        </w:tc>
        <w:tc>
          <w:tcPr>
            <w:tcW w:w="3600" w:type="dxa"/>
            <w:vAlign w:val="center"/>
            <w:hideMark/>
          </w:tcPr>
          <w:p w14:paraId="2B3A5B53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B04D2">
              <w:rPr>
                <w:rFonts w:ascii="Calibri" w:eastAsia="Times New Roman" w:hAnsi="Calibri" w:cs="Calibri"/>
                <w:b/>
                <w:bCs/>
                <w:color w:val="000000"/>
              </w:rPr>
              <w:t>Approx. Clearance</w:t>
            </w:r>
          </w:p>
        </w:tc>
      </w:tr>
      <w:tr w:rsidR="006B04D2" w:rsidRPr="006B04D2" w14:paraId="1639EE5A" w14:textId="77777777" w:rsidTr="006B04D2">
        <w:trPr>
          <w:trHeight w:val="300"/>
        </w:trPr>
        <w:tc>
          <w:tcPr>
            <w:tcW w:w="2515" w:type="dxa"/>
            <w:vAlign w:val="center"/>
            <w:hideMark/>
          </w:tcPr>
          <w:p w14:paraId="1BBAE22B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</w:rPr>
              <w:t>1/2" = 12.7 mm</w:t>
            </w:r>
          </w:p>
        </w:tc>
        <w:tc>
          <w:tcPr>
            <w:tcW w:w="3785" w:type="dxa"/>
            <w:vAlign w:val="center"/>
            <w:hideMark/>
          </w:tcPr>
          <w:p w14:paraId="6B834E61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</w:rPr>
              <w:t>0.510" = 12.954 mm</w:t>
            </w:r>
          </w:p>
        </w:tc>
        <w:tc>
          <w:tcPr>
            <w:tcW w:w="3600" w:type="dxa"/>
            <w:vAlign w:val="center"/>
            <w:hideMark/>
          </w:tcPr>
          <w:p w14:paraId="2762D960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</w:rPr>
              <w:t>≈ 0.254 mm</w:t>
            </w:r>
          </w:p>
        </w:tc>
      </w:tr>
      <w:tr w:rsidR="006B04D2" w:rsidRPr="006B04D2" w14:paraId="24B04FF0" w14:textId="77777777" w:rsidTr="006B04D2">
        <w:trPr>
          <w:trHeight w:val="300"/>
        </w:trPr>
        <w:tc>
          <w:tcPr>
            <w:tcW w:w="2515" w:type="dxa"/>
            <w:vAlign w:val="center"/>
            <w:hideMark/>
          </w:tcPr>
          <w:p w14:paraId="4779A832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</w:rPr>
              <w:t>5/8" = 15.875 mm</w:t>
            </w:r>
          </w:p>
        </w:tc>
        <w:tc>
          <w:tcPr>
            <w:tcW w:w="3785" w:type="dxa"/>
            <w:vAlign w:val="center"/>
            <w:hideMark/>
          </w:tcPr>
          <w:p w14:paraId="2136542B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</w:rPr>
              <w:t>0.635" = 16.129 mm</w:t>
            </w:r>
          </w:p>
        </w:tc>
        <w:tc>
          <w:tcPr>
            <w:tcW w:w="3600" w:type="dxa"/>
            <w:vAlign w:val="center"/>
            <w:hideMark/>
          </w:tcPr>
          <w:p w14:paraId="3C47AC78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</w:rPr>
              <w:t>≈ 0.254 mm</w:t>
            </w:r>
          </w:p>
        </w:tc>
      </w:tr>
      <w:tr w:rsidR="006B04D2" w:rsidRPr="006B04D2" w14:paraId="4DD99FF0" w14:textId="77777777" w:rsidTr="006B04D2">
        <w:trPr>
          <w:trHeight w:val="300"/>
        </w:trPr>
        <w:tc>
          <w:tcPr>
            <w:tcW w:w="2515" w:type="dxa"/>
            <w:vAlign w:val="center"/>
            <w:hideMark/>
          </w:tcPr>
          <w:p w14:paraId="1AF76396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</w:rPr>
              <w:t>3/4" = 19.05 mm</w:t>
            </w:r>
          </w:p>
        </w:tc>
        <w:tc>
          <w:tcPr>
            <w:tcW w:w="3785" w:type="dxa"/>
            <w:vAlign w:val="center"/>
            <w:hideMark/>
          </w:tcPr>
          <w:p w14:paraId="1FB42A37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</w:rPr>
              <w:t>0.760" = 19.304 mm</w:t>
            </w:r>
          </w:p>
        </w:tc>
        <w:tc>
          <w:tcPr>
            <w:tcW w:w="3600" w:type="dxa"/>
            <w:vAlign w:val="center"/>
            <w:hideMark/>
          </w:tcPr>
          <w:p w14:paraId="5DC446B6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</w:rPr>
              <w:t>≈ 0.254 mm</w:t>
            </w:r>
          </w:p>
        </w:tc>
      </w:tr>
      <w:tr w:rsidR="006B04D2" w:rsidRPr="006B04D2" w14:paraId="1EF8AF47" w14:textId="77777777" w:rsidTr="006B04D2">
        <w:trPr>
          <w:trHeight w:val="300"/>
        </w:trPr>
        <w:tc>
          <w:tcPr>
            <w:tcW w:w="2515" w:type="dxa"/>
            <w:vAlign w:val="center"/>
            <w:hideMark/>
          </w:tcPr>
          <w:p w14:paraId="30D9A2A4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</w:rPr>
              <w:t>1" = 25.4 mm</w:t>
            </w:r>
          </w:p>
        </w:tc>
        <w:tc>
          <w:tcPr>
            <w:tcW w:w="3785" w:type="dxa"/>
            <w:vAlign w:val="center"/>
            <w:hideMark/>
          </w:tcPr>
          <w:p w14:paraId="284128FF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</w:rPr>
              <w:t>1.012" = 25.705 mm</w:t>
            </w:r>
          </w:p>
        </w:tc>
        <w:tc>
          <w:tcPr>
            <w:tcW w:w="3600" w:type="dxa"/>
            <w:vAlign w:val="center"/>
            <w:hideMark/>
          </w:tcPr>
          <w:p w14:paraId="66CE9A0C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</w:rPr>
              <w:t>≈ 0.305 mm</w:t>
            </w:r>
          </w:p>
        </w:tc>
      </w:tr>
      <w:tr w:rsidR="006B04D2" w:rsidRPr="006B04D2" w14:paraId="4FE832FC" w14:textId="77777777" w:rsidTr="006B04D2">
        <w:trPr>
          <w:trHeight w:val="300"/>
        </w:trPr>
        <w:tc>
          <w:tcPr>
            <w:tcW w:w="2515" w:type="dxa"/>
            <w:vAlign w:val="center"/>
            <w:hideMark/>
          </w:tcPr>
          <w:p w14:paraId="4569065E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</w:rPr>
              <w:t>1-1/2" = 38.1 mm</w:t>
            </w:r>
          </w:p>
        </w:tc>
        <w:tc>
          <w:tcPr>
            <w:tcW w:w="3785" w:type="dxa"/>
            <w:vAlign w:val="center"/>
            <w:hideMark/>
          </w:tcPr>
          <w:p w14:paraId="69261A3D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</w:rPr>
              <w:t>1.518" = 38.557 mm</w:t>
            </w:r>
          </w:p>
        </w:tc>
        <w:tc>
          <w:tcPr>
            <w:tcW w:w="3600" w:type="dxa"/>
            <w:vAlign w:val="center"/>
            <w:hideMark/>
          </w:tcPr>
          <w:p w14:paraId="75C98B0C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</w:rPr>
              <w:t>≈ 0.457 mm</w:t>
            </w:r>
          </w:p>
        </w:tc>
      </w:tr>
      <w:tr w:rsidR="006B04D2" w:rsidRPr="006B04D2" w14:paraId="12994E83" w14:textId="77777777" w:rsidTr="006B04D2">
        <w:trPr>
          <w:trHeight w:val="300"/>
        </w:trPr>
        <w:tc>
          <w:tcPr>
            <w:tcW w:w="2515" w:type="dxa"/>
            <w:vAlign w:val="center"/>
            <w:hideMark/>
          </w:tcPr>
          <w:p w14:paraId="19F8CF7B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</w:rPr>
              <w:t>2" = 50.8 mm</w:t>
            </w:r>
          </w:p>
        </w:tc>
        <w:tc>
          <w:tcPr>
            <w:tcW w:w="3785" w:type="dxa"/>
            <w:vAlign w:val="center"/>
            <w:hideMark/>
          </w:tcPr>
          <w:p w14:paraId="793C64AB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</w:rPr>
              <w:t>2.022" = 51.359 mm</w:t>
            </w:r>
          </w:p>
        </w:tc>
        <w:tc>
          <w:tcPr>
            <w:tcW w:w="3600" w:type="dxa"/>
            <w:vAlign w:val="center"/>
            <w:hideMark/>
          </w:tcPr>
          <w:p w14:paraId="1CEEDCCC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</w:rPr>
              <w:t>≈ 0.559 mm</w:t>
            </w:r>
          </w:p>
        </w:tc>
      </w:tr>
      <w:tr w:rsidR="006B04D2" w:rsidRPr="006B04D2" w14:paraId="554A7B83" w14:textId="77777777" w:rsidTr="006B04D2">
        <w:trPr>
          <w:trHeight w:val="300"/>
        </w:trPr>
        <w:tc>
          <w:tcPr>
            <w:tcW w:w="9900" w:type="dxa"/>
            <w:gridSpan w:val="3"/>
            <w:shd w:val="clear" w:color="auto" w:fill="FBE4D5" w:themeFill="accent2" w:themeFillTint="33"/>
            <w:noWrap/>
            <w:vAlign w:val="bottom"/>
            <w:hideMark/>
          </w:tcPr>
          <w:p w14:paraId="09BDE6C3" w14:textId="77777777" w:rsidR="006B04D2" w:rsidRPr="006B04D2" w:rsidRDefault="006B04D2" w:rsidP="006B04D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  <w:rtl/>
              </w:rPr>
              <w:t xml:space="preserve">تعداد </w:t>
            </w:r>
            <w:r w:rsidRPr="006B04D2">
              <w:rPr>
                <w:rFonts w:ascii="Calibri" w:eastAsia="Times New Roman" w:hAnsi="Calibri" w:cs="Calibri"/>
                <w:color w:val="000000"/>
              </w:rPr>
              <w:t>Groove</w:t>
            </w:r>
            <w:r w:rsidRPr="006B04D2">
              <w:rPr>
                <w:rFonts w:ascii="Calibri" w:eastAsia="Times New Roman" w:hAnsi="Calibri" w:cs="Calibri"/>
                <w:color w:val="000000"/>
                <w:rtl/>
              </w:rPr>
              <w:t xml:space="preserve"> چقدر است؟ این جزئیات در </w:t>
            </w:r>
            <w:r w:rsidRPr="006B04D2">
              <w:rPr>
                <w:rFonts w:ascii="Calibri" w:eastAsia="Times New Roman" w:hAnsi="Calibri" w:cs="Calibri"/>
                <w:color w:val="000000"/>
              </w:rPr>
              <w:t>TEMA RCB-7.2.4</w:t>
            </w:r>
            <w:r w:rsidRPr="006B04D2">
              <w:rPr>
                <w:rFonts w:ascii="Calibri" w:eastAsia="Times New Roman" w:hAnsi="Calibri" w:cs="Calibri"/>
                <w:color w:val="000000"/>
                <w:rtl/>
              </w:rPr>
              <w:t xml:space="preserve"> آمده است. </w:t>
            </w:r>
          </w:p>
        </w:tc>
      </w:tr>
      <w:tr w:rsidR="006B04D2" w:rsidRPr="006B04D2" w14:paraId="4CDBE3A1" w14:textId="77777777" w:rsidTr="006B04D2">
        <w:trPr>
          <w:trHeight w:val="300"/>
        </w:trPr>
        <w:tc>
          <w:tcPr>
            <w:tcW w:w="9900" w:type="dxa"/>
            <w:gridSpan w:val="3"/>
            <w:noWrap/>
            <w:vAlign w:val="bottom"/>
            <w:hideMark/>
          </w:tcPr>
          <w:p w14:paraId="3F94DC80" w14:textId="77777777" w:rsidR="006B04D2" w:rsidRPr="006B04D2" w:rsidRDefault="006B04D2" w:rsidP="006B04D2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  <w:rtl/>
              </w:rPr>
              <w:t>بنابراین به صورت خلاصه:</w:t>
            </w:r>
          </w:p>
        </w:tc>
      </w:tr>
      <w:tr w:rsidR="006B04D2" w:rsidRPr="006B04D2" w14:paraId="6DECAC67" w14:textId="77777777" w:rsidTr="006B04D2">
        <w:trPr>
          <w:trHeight w:val="197"/>
        </w:trPr>
        <w:tc>
          <w:tcPr>
            <w:tcW w:w="2515" w:type="dxa"/>
            <w:vAlign w:val="center"/>
            <w:hideMark/>
          </w:tcPr>
          <w:p w14:paraId="257ADC6B" w14:textId="0AB5E8E4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B04D2">
              <w:rPr>
                <w:rFonts w:ascii="Calibri" w:eastAsia="Times New Roman" w:hAnsi="Calibri" w:cs="Calibri"/>
                <w:b/>
                <w:bCs/>
                <w:color w:val="000000"/>
              </w:rPr>
              <w:t>Tube sheet</w:t>
            </w:r>
            <w:r w:rsidRPr="006B04D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Thickness</w:t>
            </w:r>
          </w:p>
        </w:tc>
        <w:tc>
          <w:tcPr>
            <w:tcW w:w="3785" w:type="dxa"/>
            <w:vAlign w:val="center"/>
            <w:hideMark/>
          </w:tcPr>
          <w:p w14:paraId="7566AABE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B04D2">
              <w:rPr>
                <w:rFonts w:ascii="Calibri" w:eastAsia="Times New Roman" w:hAnsi="Calibri" w:cs="Calibri"/>
                <w:b/>
                <w:bCs/>
                <w:color w:val="000000"/>
              </w:rPr>
              <w:t>Roller Expansion</w:t>
            </w:r>
          </w:p>
        </w:tc>
        <w:tc>
          <w:tcPr>
            <w:tcW w:w="3600" w:type="dxa"/>
            <w:vAlign w:val="center"/>
            <w:hideMark/>
          </w:tcPr>
          <w:p w14:paraId="7EB12BDD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B04D2">
              <w:rPr>
                <w:rFonts w:ascii="Calibri" w:eastAsia="Times New Roman" w:hAnsi="Calibri" w:cs="Calibri"/>
                <w:b/>
                <w:bCs/>
                <w:color w:val="000000"/>
              </w:rPr>
              <w:t>Groove</w:t>
            </w:r>
          </w:p>
        </w:tc>
      </w:tr>
      <w:tr w:rsidR="006B04D2" w:rsidRPr="006B04D2" w14:paraId="4F4B36B6" w14:textId="77777777" w:rsidTr="006B04D2">
        <w:trPr>
          <w:trHeight w:val="300"/>
        </w:trPr>
        <w:tc>
          <w:tcPr>
            <w:tcW w:w="2515" w:type="dxa"/>
            <w:vAlign w:val="center"/>
            <w:hideMark/>
          </w:tcPr>
          <w:p w14:paraId="2B9ED3A5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</w:rPr>
              <w:t>≤ 25.4 mm</w:t>
            </w:r>
          </w:p>
        </w:tc>
        <w:tc>
          <w:tcPr>
            <w:tcW w:w="3785" w:type="dxa"/>
            <w:vAlign w:val="center"/>
            <w:hideMark/>
          </w:tcPr>
          <w:p w14:paraId="072A2DE6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</w:rPr>
              <w:t>Expanded</w:t>
            </w:r>
          </w:p>
        </w:tc>
        <w:tc>
          <w:tcPr>
            <w:tcW w:w="3600" w:type="dxa"/>
            <w:vAlign w:val="center"/>
            <w:hideMark/>
          </w:tcPr>
          <w:p w14:paraId="782F7292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</w:rPr>
              <w:t>1 groove permitted</w:t>
            </w:r>
          </w:p>
        </w:tc>
      </w:tr>
      <w:tr w:rsidR="006B04D2" w:rsidRPr="006B04D2" w14:paraId="69F87B6A" w14:textId="77777777" w:rsidTr="006B04D2">
        <w:trPr>
          <w:trHeight w:val="300"/>
        </w:trPr>
        <w:tc>
          <w:tcPr>
            <w:tcW w:w="2515" w:type="dxa"/>
            <w:vAlign w:val="center"/>
            <w:hideMark/>
          </w:tcPr>
          <w:p w14:paraId="137EBEB5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</w:rPr>
              <w:t>&gt; 25.4 mm</w:t>
            </w:r>
          </w:p>
        </w:tc>
        <w:tc>
          <w:tcPr>
            <w:tcW w:w="3785" w:type="dxa"/>
            <w:vAlign w:val="center"/>
            <w:hideMark/>
          </w:tcPr>
          <w:p w14:paraId="0066F063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</w:rPr>
              <w:t>Expanded</w:t>
            </w:r>
          </w:p>
        </w:tc>
        <w:tc>
          <w:tcPr>
            <w:tcW w:w="3600" w:type="dxa"/>
            <w:vAlign w:val="center"/>
            <w:hideMark/>
          </w:tcPr>
          <w:p w14:paraId="0820B626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</w:rPr>
              <w:t>Minimum 2 grooves</w:t>
            </w:r>
          </w:p>
        </w:tc>
      </w:tr>
      <w:tr w:rsidR="006B04D2" w:rsidRPr="006B04D2" w14:paraId="358953EF" w14:textId="77777777" w:rsidTr="006B04D2">
        <w:trPr>
          <w:trHeight w:val="300"/>
        </w:trPr>
        <w:tc>
          <w:tcPr>
            <w:tcW w:w="2515" w:type="dxa"/>
            <w:vAlign w:val="center"/>
            <w:hideMark/>
          </w:tcPr>
          <w:p w14:paraId="7CA36EC8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</w:rPr>
              <w:t>Groove depth</w:t>
            </w:r>
          </w:p>
        </w:tc>
        <w:tc>
          <w:tcPr>
            <w:tcW w:w="3785" w:type="dxa"/>
            <w:vAlign w:val="center"/>
            <w:hideMark/>
          </w:tcPr>
          <w:p w14:paraId="24DDE50C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00" w:type="dxa"/>
            <w:vAlign w:val="center"/>
            <w:hideMark/>
          </w:tcPr>
          <w:p w14:paraId="6FA8B088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</w:rPr>
              <w:t>≈ 0.4 mm</w:t>
            </w:r>
          </w:p>
        </w:tc>
      </w:tr>
      <w:tr w:rsidR="006B04D2" w:rsidRPr="006B04D2" w14:paraId="0ADE27A6" w14:textId="77777777" w:rsidTr="006B04D2">
        <w:trPr>
          <w:trHeight w:val="300"/>
        </w:trPr>
        <w:tc>
          <w:tcPr>
            <w:tcW w:w="2515" w:type="dxa"/>
            <w:vAlign w:val="center"/>
            <w:hideMark/>
          </w:tcPr>
          <w:p w14:paraId="7065BB7B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</w:rPr>
              <w:t>Groove width</w:t>
            </w:r>
          </w:p>
        </w:tc>
        <w:tc>
          <w:tcPr>
            <w:tcW w:w="3785" w:type="dxa"/>
            <w:vAlign w:val="center"/>
            <w:hideMark/>
          </w:tcPr>
          <w:p w14:paraId="09D65EB7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00" w:type="dxa"/>
            <w:vAlign w:val="center"/>
            <w:hideMark/>
          </w:tcPr>
          <w:p w14:paraId="7FFC3DDC" w14:textId="77777777" w:rsidR="006B04D2" w:rsidRPr="006B04D2" w:rsidRDefault="006B04D2" w:rsidP="006B04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04D2">
              <w:rPr>
                <w:rFonts w:ascii="Calibri" w:eastAsia="Times New Roman" w:hAnsi="Calibri" w:cs="Calibri"/>
                <w:color w:val="000000"/>
              </w:rPr>
              <w:t>≈ 3.2 mm</w:t>
            </w:r>
          </w:p>
        </w:tc>
      </w:tr>
    </w:tbl>
    <w:p w14:paraId="0B2716CB" w14:textId="77777777" w:rsidR="006C2BAD" w:rsidRDefault="006C2BAD" w:rsidP="006B04D2">
      <w:pPr>
        <w:jc w:val="right"/>
        <w:rPr>
          <w:rFonts w:asciiTheme="majorHAnsi" w:hAnsiTheme="majorHAnsi" w:cstheme="majorHAnsi"/>
          <w:sz w:val="24"/>
          <w:szCs w:val="24"/>
        </w:rPr>
      </w:pPr>
    </w:p>
    <w:p w14:paraId="3A01BA53" w14:textId="1C74E07B" w:rsidR="006B04D2" w:rsidRPr="006B04D2" w:rsidRDefault="006B04D2" w:rsidP="006B04D2">
      <w:pPr>
        <w:jc w:val="right"/>
        <w:rPr>
          <w:rFonts w:asciiTheme="majorHAnsi" w:hAnsiTheme="majorHAnsi" w:cstheme="majorHAnsi" w:hint="cs"/>
          <w:sz w:val="24"/>
          <w:szCs w:val="24"/>
          <w:rtl/>
          <w:lang w:bidi="fa-IR"/>
        </w:rPr>
      </w:pPr>
      <w:r>
        <w:rPr>
          <w:rFonts w:asciiTheme="majorHAnsi" w:hAnsiTheme="majorHAnsi" w:cstheme="majorHAnsi" w:hint="cs"/>
          <w:sz w:val="24"/>
          <w:szCs w:val="24"/>
          <w:rtl/>
          <w:lang w:bidi="fa-IR"/>
        </w:rPr>
        <w:t>با تشکر</w:t>
      </w:r>
    </w:p>
    <w:sectPr w:rsidR="006B04D2" w:rsidRPr="006B04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4D2"/>
    <w:rsid w:val="000D09F5"/>
    <w:rsid w:val="0028185F"/>
    <w:rsid w:val="002D679F"/>
    <w:rsid w:val="003E4A3F"/>
    <w:rsid w:val="00666204"/>
    <w:rsid w:val="00670B4C"/>
    <w:rsid w:val="006B04D2"/>
    <w:rsid w:val="006C2BAD"/>
    <w:rsid w:val="007A2C92"/>
    <w:rsid w:val="007F42A1"/>
    <w:rsid w:val="008873AD"/>
    <w:rsid w:val="00AE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FFBF5"/>
  <w15:chartTrackingRefBased/>
  <w15:docId w15:val="{876BAAB0-5015-40C2-9534-5D40796C6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C92"/>
  </w:style>
  <w:style w:type="paragraph" w:styleId="Heading1">
    <w:name w:val="heading 1"/>
    <w:aliases w:val="Modulo"/>
    <w:basedOn w:val="Normal"/>
    <w:next w:val="Normal"/>
    <w:link w:val="Heading1Char"/>
    <w:uiPriority w:val="9"/>
    <w:qFormat/>
    <w:rsid w:val="007A2C9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C9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C9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C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C9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C9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C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C9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C9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odulo Char"/>
    <w:basedOn w:val="DefaultParagraphFont"/>
    <w:link w:val="Heading1"/>
    <w:uiPriority w:val="9"/>
    <w:rsid w:val="007A2C92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C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C92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C92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C92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C92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C92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C92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C92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A2C92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7A2C92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A2C92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C9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C92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7A2C92"/>
    <w:rPr>
      <w:b/>
      <w:bCs/>
    </w:rPr>
  </w:style>
  <w:style w:type="character" w:styleId="Emphasis">
    <w:name w:val="Emphasis"/>
    <w:basedOn w:val="DefaultParagraphFont"/>
    <w:uiPriority w:val="20"/>
    <w:qFormat/>
    <w:rsid w:val="007A2C92"/>
    <w:rPr>
      <w:i/>
      <w:iCs/>
    </w:rPr>
  </w:style>
  <w:style w:type="paragraph" w:styleId="NoSpacing">
    <w:name w:val="No Spacing"/>
    <w:uiPriority w:val="1"/>
    <w:qFormat/>
    <w:rsid w:val="007A2C9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A2C9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A2C92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A2C92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C9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C92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7A2C9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7A2C9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A2C9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7A2C92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7A2C92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2C9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7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ASGARi</dc:creator>
  <cp:keywords/>
  <dc:description/>
  <cp:lastModifiedBy>REZA ASGARi</cp:lastModifiedBy>
  <cp:revision>1</cp:revision>
  <dcterms:created xsi:type="dcterms:W3CDTF">2026-09-04T20:52:00Z</dcterms:created>
  <dcterms:modified xsi:type="dcterms:W3CDTF">2026-09-04T21:02:00Z</dcterms:modified>
</cp:coreProperties>
</file>